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2024-07-01</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Cs/>
          <w:b/>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Cs/>
          <w:b/>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Cs/>
          <w:i/>
        </w:rPr>
        <w:t xml:space="preserve">features</w:t>
      </w:r>
      <w:r>
        <w:t xml:space="preserve">,</w:t>
      </w:r>
      <w:r>
        <w:t xml:space="preserve"> </w:t>
      </w:r>
      <w:r>
        <w:rPr>
          <w:iCs/>
          <w:i/>
        </w:rPr>
        <w:t xml:space="preserve">limits</w:t>
      </w:r>
      <w:r>
        <w:t xml:space="preserve">, and</w:t>
      </w:r>
      <w:r>
        <w:t xml:space="preserve"> </w:t>
      </w:r>
      <w:r>
        <w:rPr>
          <w:iCs/>
          <w:i/>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1"/>
        </w:numPr>
        <w:pStyle w:val="Compact"/>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Cs/>
          <w:b/>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Cs/>
          <w:b/>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Cs/>
          <w:i/>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Cs/>
          <w:i/>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Cs/>
          <w:i/>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Cs/>
          <w:i/>
        </w:rPr>
        <w:t xml:space="preserve">sensu</w:t>
      </w:r>
      <w:r>
        <w:t xml:space="preserve"> </w:t>
      </w:r>
      <w:r>
        <w:t xml:space="preserve">Banville, in prep).</w:t>
      </w:r>
    </w:p>
    <w:p>
      <w:pPr>
        <w:pStyle w:val="BodyText"/>
      </w:pPr>
      <w:r>
        <w:rPr>
          <w:bCs/>
          <w:b/>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 name="Picture"/>
                  <a:graphic>
                    <a:graphicData uri="http://schemas.openxmlformats.org/drawingml/2006/picture">
                      <pic:pic>
                        <pic:nvPicPr>
                          <pic:cNvPr descr="/Users/tanyastrydom/Applications/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Box 1 -The anatomy of a food web</w:t>
            </w:r>
          </w:p>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bCs/>
                <w:b/>
              </w:rPr>
              <w:t xml:space="preserve">potential</w:t>
            </w:r>
            <w:r>
              <w:t xml:space="preserve"> </w:t>
            </w:r>
            <w:r>
              <w:t xml:space="preserve">or</w:t>
            </w:r>
            <w:r>
              <w:t xml:space="preserve"> </w:t>
            </w:r>
            <w:r>
              <w:rPr>
                <w:bCs/>
                <w:b/>
              </w:rPr>
              <w:t xml:space="preserve">realised feeding links</w:t>
            </w:r>
            <w:r>
              <w:t xml:space="preserve">),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Cs/>
                <w:i/>
              </w:rPr>
              <w:t xml:space="preserve">potential</w:t>
            </w:r>
            <w:r>
              <w:t xml:space="preserve"> </w:t>
            </w:r>
            <w:r>
              <w:t xml:space="preserve">feeding links between species will be meaningless if you are interested in understanding</w:t>
            </w:r>
            <w:r>
              <w:t xml:space="preserve"> </w:t>
            </w:r>
            <w:r>
              <w:rPr>
                <w:iCs/>
                <w:i/>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ook w:firstRow="1" w:lastRow="0" w:firstColumn="0" w:lastColumn="0" w:noHBand="0" w:noVBand="0" w:val="0020"/>
              <w:jc w:val="start"/>
              <w:tblLayout w:type="fixed"/>
            </w:tblPr>
            <w:tblGrid>
              <w:gridCol w:w="1244"/>
              <w:gridCol w:w="1244"/>
              <w:gridCol w:w="1697"/>
              <w:gridCol w:w="1244"/>
              <w:gridCol w:w="1244"/>
              <w:gridCol w:w="1244"/>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networks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4"/>
        </w:numPr>
        <w:pStyle w:val="Compact"/>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[29,44]</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[44]</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[45]</w:t>
      </w:r>
      <w:r>
        <w:t xml:space="preserve"> </w:t>
      </w:r>
      <w:r>
        <w:t xml:space="preserve">but maybe not exactly in this context but vaguely adjacent.</w:t>
      </w:r>
    </w:p>
    <w:p>
      <w:pPr>
        <w:numPr>
          <w:ilvl w:val="1"/>
          <w:numId w:val="1007"/>
        </w:numPr>
        <w:pStyle w:val="Compact"/>
      </w:pPr>
      <w:r>
        <w:t xml:space="preserve">I think this is sort of the crux of the argument presented in</w:t>
      </w:r>
      <w:r>
        <w:t xml:space="preserve"> </w:t>
      </w:r>
      <w:r>
        <w:t xml:space="preserve">[46]</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[47]</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[48]</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0"/>
        </w:numPr>
        <w:pStyle w:val="Compact"/>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6" w:name="references"/>
    <w:p>
      <w:pPr>
        <w:pStyle w:val="Heading1"/>
      </w:pPr>
      <w:r>
        <w:t xml:space="preserve">References</w:t>
      </w:r>
    </w:p>
    <w:bookmarkStart w:id="145"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Cs/>
          <w:i/>
        </w:rPr>
        <w:t xml:space="preserve">Defining</w:t>
      </w:r>
      <w:r>
        <w:rPr>
          <w:iCs/>
          <w:i/>
        </w:rPr>
        <w:t xml:space="preserve"> </w:t>
      </w:r>
      <w:r>
        <w:rPr>
          <w:iCs/>
          <w:i/>
        </w:rPr>
        <w:t xml:space="preserve">Agroecology</w:t>
      </w:r>
      <w:r>
        <w:rPr>
          <w:iCs/>
          <w:i/>
        </w:rPr>
        <w:t xml:space="preserve"> </w:t>
      </w:r>
      <w:r>
        <w:rPr>
          <w:iCs/>
          <w:i/>
        </w:rPr>
        <w:t xml:space="preserve">–</w:t>
      </w:r>
      <w:r>
        <w:rPr>
          <w:iCs/>
          <w:i/>
        </w:rPr>
        <w:t xml:space="preserve"> </w:t>
      </w:r>
      <w:r>
        <w:rPr>
          <w:iCs/>
          <w:i/>
        </w:rPr>
        <w:t xml:space="preserve">A Festschrift</w:t>
      </w:r>
      <w:r>
        <w:rPr>
          <w:iCs/>
          <w:i/>
        </w:rPr>
        <w:t xml:space="preserve"> </w:t>
      </w:r>
      <w:r>
        <w:rPr>
          <w:iCs/>
          <w:i/>
        </w:rPr>
        <w:t xml:space="preserve">for</w:t>
      </w:r>
      <w:r>
        <w:rPr>
          <w:iCs/>
          <w:i/>
        </w:rPr>
        <w:t xml:space="preserve"> </w:t>
      </w:r>
      <w:r>
        <w:rPr>
          <w:iCs/>
          <w:i/>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Cs/>
          <w:i/>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Cs/>
          <w:i/>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Cs/>
          <w:i/>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Cs/>
          <w:i/>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Cs/>
          <w:i/>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Cs/>
          <w:i/>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Cs/>
          <w:i/>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Cs/>
          <w:i/>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Cs/>
          <w:i/>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27"/>
    <w:bookmarkStart w:id="129" w:name="ref-pringleResolvingFoodWebStructure2020"/>
    <w:p>
      <w:pPr>
        <w:pStyle w:val="Bibliography"/>
      </w:pPr>
      <w:r>
        <w:t xml:space="preserve">44.</w:t>
      </w:r>
      <w:r>
        <w:t xml:space="preserve"> </w:t>
      </w:r>
      <w:r>
        <w:t xml:space="preserve">	</w:t>
      </w:r>
      <w:r>
        <w:t xml:space="preserve">Pringle, R.M. and Hutchinson, M.C. (2020)</w:t>
      </w:r>
      <w:r>
        <w:t xml:space="preserve"> </w:t>
      </w:r>
      <w:hyperlink r:id="rId128">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9"/>
    <w:bookmarkStart w:id="131" w:name="ref-berlowGoldilocksFactorFood2008"/>
    <w:p>
      <w:pPr>
        <w:pStyle w:val="Bibliography"/>
      </w:pPr>
      <w:r>
        <w:t xml:space="preserve">45.</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30">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31"/>
    <w:bookmarkStart w:id="133" w:name="ref-brimacombeApplyingMethodIts2024"/>
    <w:p>
      <w:pPr>
        <w:pStyle w:val="Bibliography"/>
      </w:pPr>
      <w:r>
        <w:t xml:space="preserve">46.</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2">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3"/>
    <w:bookmarkStart w:id="135" w:name="X023758d2a089016cd8f0c9d2421079cf7d062ff"/>
    <w:p>
      <w:pPr>
        <w:pStyle w:val="Bibliography"/>
      </w:pPr>
      <w:r>
        <w:t xml:space="preserve">47.</w:t>
      </w:r>
      <w:r>
        <w:t xml:space="preserve"> </w:t>
      </w:r>
      <w:r>
        <w:t xml:space="preserve">	</w:t>
      </w:r>
      <w:r>
        <w:t xml:space="preserve">Poisot, T. (2023)</w:t>
      </w:r>
      <w:r>
        <w:t xml:space="preserve"> </w:t>
      </w:r>
      <w:hyperlink r:id="rId134">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0"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4"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28"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2"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2024-07-01T13:35:04Z</dcterms:created>
  <dcterms:modified xsi:type="dcterms:W3CDTF">2024-07-01T13:35:04Z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2024-07-01</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